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49" w:rsidRPr="00625E49" w:rsidRDefault="00625E49" w:rsidP="00625E49">
      <w:pPr>
        <w:spacing w:line="560" w:lineRule="exact"/>
        <w:jc w:val="left"/>
        <w:rPr>
          <w:rFonts w:ascii="方正小标宋简体" w:eastAsia="方正小标宋简体" w:hAnsi="黑体" w:hint="eastAsia"/>
          <w:sz w:val="24"/>
          <w:szCs w:val="24"/>
        </w:rPr>
      </w:pPr>
      <w:r w:rsidRPr="00625E49">
        <w:rPr>
          <w:rFonts w:ascii="方正小标宋简体" w:eastAsia="方正小标宋简体" w:hAnsi="黑体" w:hint="eastAsia"/>
          <w:sz w:val="24"/>
          <w:szCs w:val="24"/>
        </w:rPr>
        <w:t>附件4：</w:t>
      </w:r>
    </w:p>
    <w:p w:rsidR="006F7DDD" w:rsidRDefault="006F7DDD" w:rsidP="006F7DD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F750C">
        <w:rPr>
          <w:rFonts w:ascii="黑体" w:eastAsia="黑体" w:hAnsi="黑体" w:hint="eastAsia"/>
          <w:sz w:val="32"/>
          <w:szCs w:val="32"/>
        </w:rPr>
        <w:t>不动产预告登记权</w:t>
      </w:r>
      <w:proofErr w:type="gramStart"/>
      <w:r w:rsidRPr="001F750C">
        <w:rPr>
          <w:rFonts w:ascii="黑体" w:eastAsia="黑体" w:hAnsi="黑体" w:hint="eastAsia"/>
          <w:sz w:val="32"/>
          <w:szCs w:val="32"/>
        </w:rPr>
        <w:t>籍调查</w:t>
      </w:r>
      <w:proofErr w:type="gramEnd"/>
      <w:r>
        <w:rPr>
          <w:rFonts w:ascii="黑体" w:eastAsia="黑体" w:hAnsi="黑体" w:hint="eastAsia"/>
          <w:sz w:val="32"/>
          <w:szCs w:val="32"/>
        </w:rPr>
        <w:t>审查</w:t>
      </w:r>
      <w:r w:rsidRPr="001F750C">
        <w:rPr>
          <w:rFonts w:ascii="黑体" w:eastAsia="黑体" w:hAnsi="黑体" w:hint="eastAsia"/>
          <w:sz w:val="32"/>
          <w:szCs w:val="32"/>
        </w:rPr>
        <w:t>流程及收件清单</w:t>
      </w:r>
    </w:p>
    <w:p w:rsidR="006F7DDD" w:rsidRDefault="006F7DDD" w:rsidP="006F7D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F7DDD" w:rsidRPr="00122A97" w:rsidRDefault="006F7DDD" w:rsidP="006F7D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2A97">
        <w:rPr>
          <w:rFonts w:ascii="仿宋_GB2312" w:eastAsia="仿宋_GB2312" w:hint="eastAsia"/>
          <w:sz w:val="32"/>
          <w:szCs w:val="32"/>
        </w:rPr>
        <w:t>（1）申请：</w:t>
      </w:r>
      <w:r w:rsidRPr="00386607">
        <w:rPr>
          <w:rFonts w:ascii="仿宋_GB2312" w:eastAsia="仿宋_GB2312" w:hint="eastAsia"/>
          <w:sz w:val="32"/>
          <w:szCs w:val="32"/>
        </w:rPr>
        <w:t>房地</w:t>
      </w:r>
      <w:r>
        <w:rPr>
          <w:rFonts w:ascii="仿宋_GB2312" w:eastAsia="仿宋_GB2312" w:hint="eastAsia"/>
          <w:sz w:val="32"/>
          <w:szCs w:val="32"/>
        </w:rPr>
        <w:t>产</w:t>
      </w:r>
      <w:r w:rsidRPr="00386607">
        <w:rPr>
          <w:rFonts w:ascii="仿宋_GB2312" w:eastAsia="仿宋_GB2312" w:hint="eastAsia"/>
          <w:sz w:val="32"/>
          <w:szCs w:val="32"/>
        </w:rPr>
        <w:t>开发企业</w:t>
      </w:r>
      <w:r w:rsidRPr="008224B1">
        <w:rPr>
          <w:rFonts w:ascii="仿宋_GB2312" w:eastAsia="仿宋_GB2312" w:hint="eastAsia"/>
          <w:sz w:val="32"/>
          <w:szCs w:val="32"/>
        </w:rPr>
        <w:t>与房产测绘公司</w:t>
      </w:r>
      <w:r>
        <w:rPr>
          <w:rFonts w:ascii="仿宋_GB2312" w:eastAsia="仿宋_GB2312" w:hint="eastAsia"/>
          <w:sz w:val="32"/>
          <w:szCs w:val="32"/>
        </w:rPr>
        <w:t>根据</w:t>
      </w:r>
      <w:r w:rsidRPr="00D95D61">
        <w:rPr>
          <w:rFonts w:ascii="仿宋_GB2312" w:eastAsia="仿宋_GB2312" w:hint="eastAsia"/>
          <w:sz w:val="32"/>
          <w:szCs w:val="32"/>
        </w:rPr>
        <w:t>权籍调查审查收件清单</w:t>
      </w:r>
      <w:r>
        <w:rPr>
          <w:rFonts w:ascii="仿宋_GB2312" w:eastAsia="仿宋_GB2312" w:hint="eastAsia"/>
          <w:sz w:val="32"/>
          <w:szCs w:val="32"/>
        </w:rPr>
        <w:t>要求，</w:t>
      </w:r>
      <w:r w:rsidRPr="00122A97">
        <w:rPr>
          <w:rFonts w:ascii="仿宋_GB2312" w:eastAsia="仿宋_GB2312" w:hint="eastAsia"/>
          <w:sz w:val="32"/>
          <w:szCs w:val="32"/>
        </w:rPr>
        <w:t>到东莞市不动产</w:t>
      </w:r>
      <w:r>
        <w:rPr>
          <w:rFonts w:ascii="仿宋_GB2312" w:eastAsia="仿宋_GB2312" w:hint="eastAsia"/>
          <w:sz w:val="32"/>
          <w:szCs w:val="32"/>
        </w:rPr>
        <w:t>登记中心权籍调查组</w:t>
      </w:r>
      <w:r w:rsidRPr="00122A97">
        <w:rPr>
          <w:rFonts w:ascii="仿宋_GB2312" w:eastAsia="仿宋_GB2312" w:hint="eastAsia"/>
          <w:sz w:val="32"/>
          <w:szCs w:val="32"/>
        </w:rPr>
        <w:t>递交申请材料。</w:t>
      </w:r>
    </w:p>
    <w:p w:rsidR="006F7DDD" w:rsidRPr="006F7DDD" w:rsidRDefault="006F7DDD" w:rsidP="006F7DDD">
      <w:pPr>
        <w:spacing w:line="560" w:lineRule="exact"/>
        <w:ind w:firstLineChars="200" w:firstLine="640"/>
        <w:rPr>
          <w:rFonts w:ascii="仿宋_GB2312" w:eastAsia="仿宋_GB2312"/>
          <w:spacing w:val="-20"/>
          <w:sz w:val="32"/>
          <w:szCs w:val="32"/>
        </w:rPr>
      </w:pPr>
      <w:r w:rsidRPr="00122A97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审查</w:t>
      </w:r>
      <w:r w:rsidRPr="00122A97">
        <w:rPr>
          <w:rFonts w:ascii="仿宋_GB2312" w:eastAsia="仿宋_GB2312" w:hint="eastAsia"/>
          <w:sz w:val="32"/>
          <w:szCs w:val="32"/>
        </w:rPr>
        <w:t>：</w:t>
      </w:r>
      <w:r w:rsidRPr="006F7DDD">
        <w:rPr>
          <w:rFonts w:ascii="仿宋_GB2312" w:eastAsia="仿宋_GB2312" w:hint="eastAsia"/>
          <w:spacing w:val="-20"/>
          <w:sz w:val="32"/>
          <w:szCs w:val="32"/>
        </w:rPr>
        <w:t>权籍调查组对符合条件的材料给予盖章确认。</w:t>
      </w:r>
    </w:p>
    <w:p w:rsidR="006F7DDD" w:rsidRPr="00122A97" w:rsidRDefault="006F7DDD" w:rsidP="006F7D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2A97">
        <w:rPr>
          <w:rFonts w:ascii="仿宋_GB2312" w:eastAsia="仿宋_GB2312" w:hint="eastAsia"/>
          <w:sz w:val="32"/>
          <w:szCs w:val="32"/>
        </w:rPr>
        <w:t>（3）</w:t>
      </w:r>
      <w:r w:rsidRPr="00C4261C">
        <w:rPr>
          <w:rFonts w:ascii="仿宋_GB2312" w:eastAsia="仿宋_GB2312" w:hint="eastAsia"/>
          <w:sz w:val="32"/>
          <w:szCs w:val="32"/>
        </w:rPr>
        <w:t>数据入库</w:t>
      </w:r>
      <w:r>
        <w:rPr>
          <w:rFonts w:ascii="仿宋_GB2312" w:eastAsia="仿宋_GB2312" w:hint="eastAsia"/>
          <w:sz w:val="32"/>
          <w:szCs w:val="32"/>
        </w:rPr>
        <w:t>：</w:t>
      </w:r>
      <w:r w:rsidRPr="00386607">
        <w:rPr>
          <w:rFonts w:ascii="仿宋_GB2312" w:eastAsia="仿宋_GB2312" w:hint="eastAsia"/>
          <w:sz w:val="32"/>
          <w:szCs w:val="32"/>
        </w:rPr>
        <w:t>房地</w:t>
      </w:r>
      <w:r>
        <w:rPr>
          <w:rFonts w:ascii="仿宋_GB2312" w:eastAsia="仿宋_GB2312" w:hint="eastAsia"/>
          <w:sz w:val="32"/>
          <w:szCs w:val="32"/>
        </w:rPr>
        <w:t>产</w:t>
      </w:r>
      <w:r w:rsidRPr="00386607">
        <w:rPr>
          <w:rFonts w:ascii="仿宋_GB2312" w:eastAsia="仿宋_GB2312" w:hint="eastAsia"/>
          <w:sz w:val="32"/>
          <w:szCs w:val="32"/>
        </w:rPr>
        <w:t>开发企业</w:t>
      </w:r>
      <w:r>
        <w:rPr>
          <w:rFonts w:ascii="仿宋_GB2312" w:eastAsia="仿宋_GB2312" w:hint="eastAsia"/>
          <w:sz w:val="32"/>
          <w:szCs w:val="32"/>
        </w:rPr>
        <w:t>到镇（街）自然资源分局提交</w:t>
      </w:r>
      <w:r w:rsidRPr="00506A6A">
        <w:rPr>
          <w:rFonts w:ascii="仿宋_GB2312" w:eastAsia="仿宋_GB2312" w:hint="eastAsia"/>
          <w:sz w:val="32"/>
          <w:szCs w:val="32"/>
        </w:rPr>
        <w:t>不动产测量报告</w:t>
      </w:r>
      <w:r>
        <w:rPr>
          <w:rFonts w:ascii="仿宋_GB2312" w:eastAsia="仿宋_GB2312" w:hint="eastAsia"/>
          <w:sz w:val="32"/>
          <w:szCs w:val="32"/>
        </w:rPr>
        <w:t>、</w:t>
      </w:r>
      <w:r w:rsidRPr="00506A6A">
        <w:rPr>
          <w:rFonts w:ascii="仿宋_GB2312" w:eastAsia="仿宋_GB2312" w:hint="eastAsia"/>
          <w:sz w:val="32"/>
          <w:szCs w:val="32"/>
        </w:rPr>
        <w:t>不动产测绘审查报告</w:t>
      </w:r>
      <w:r>
        <w:rPr>
          <w:rFonts w:ascii="仿宋_GB2312" w:eastAsia="仿宋_GB2312" w:hint="eastAsia"/>
          <w:sz w:val="32"/>
          <w:szCs w:val="32"/>
        </w:rPr>
        <w:t>。镇（街）自然资源分局</w:t>
      </w:r>
      <w:r w:rsidRPr="00C4261C">
        <w:rPr>
          <w:rFonts w:ascii="仿宋_GB2312" w:eastAsia="仿宋_GB2312" w:hint="eastAsia"/>
          <w:sz w:val="32"/>
          <w:szCs w:val="32"/>
        </w:rPr>
        <w:t>分配宗地信息，并将图形数据入库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F7DDD" w:rsidRDefault="006F7DDD" w:rsidP="006F7D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2A97"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 w:hint="eastAsia"/>
          <w:sz w:val="32"/>
          <w:szCs w:val="32"/>
        </w:rPr>
        <w:t>完善信息</w:t>
      </w:r>
      <w:r w:rsidRPr="00122A9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不动产测绘公司根据宗地信息完善预售</w:t>
      </w:r>
      <w:proofErr w:type="gramStart"/>
      <w:r>
        <w:rPr>
          <w:rFonts w:ascii="仿宋_GB2312" w:eastAsia="仿宋_GB2312" w:hint="eastAsia"/>
          <w:sz w:val="32"/>
          <w:szCs w:val="32"/>
        </w:rPr>
        <w:t>楼盘表</w:t>
      </w:r>
      <w:proofErr w:type="gramEnd"/>
      <w:r>
        <w:rPr>
          <w:rFonts w:ascii="仿宋_GB2312" w:eastAsia="仿宋_GB2312" w:hint="eastAsia"/>
          <w:sz w:val="32"/>
          <w:szCs w:val="32"/>
        </w:rPr>
        <w:t>并提交到东莞市不动产交易所。</w:t>
      </w:r>
    </w:p>
    <w:p w:rsidR="006F7DDD" w:rsidRDefault="006F7DDD" w:rsidP="006F7D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（5）申请项目建档：不动产开发企业根据</w:t>
      </w:r>
      <w:r w:rsidRPr="00B1752A">
        <w:rPr>
          <w:rFonts w:ascii="仿宋_GB2312" w:eastAsia="仿宋_GB2312" w:hint="eastAsia"/>
          <w:sz w:val="32"/>
          <w:szCs w:val="32"/>
        </w:rPr>
        <w:t>预售商品房项目建档工作流程</w:t>
      </w:r>
      <w:r>
        <w:rPr>
          <w:rFonts w:ascii="仿宋_GB2312" w:eastAsia="仿宋_GB2312" w:hint="eastAsia"/>
          <w:sz w:val="32"/>
          <w:szCs w:val="32"/>
        </w:rPr>
        <w:t>到不动产交易所申请项目建档。</w:t>
      </w:r>
    </w:p>
    <w:p w:rsidR="00661C4F" w:rsidRDefault="006F7DDD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4991100" cy="3762375"/>
                <wp:effectExtent l="0" t="0" r="0" b="28575"/>
                <wp:docPr id="16" name="画布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圆角矩形 30"/>
                        <wps:cNvSpPr>
                          <a:spLocks noChangeArrowheads="1"/>
                        </wps:cNvSpPr>
                        <wps:spPr bwMode="auto">
                          <a:xfrm>
                            <a:off x="1155100" y="561962"/>
                            <a:ext cx="902300" cy="3499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B54285">
                              <w:r>
                                <w:rPr>
                                  <w:rFonts w:hint="eastAsia"/>
                                </w:rPr>
                                <w:t>环节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6F7DDD">
                                <w:rPr>
                                  <w:rFonts w:hint="eastAsia"/>
                                </w:rPr>
                                <w:t>:4-</w:t>
                              </w:r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圆角矩形 32"/>
                        <wps:cNvSpPr>
                          <a:spLocks noChangeArrowheads="1"/>
                        </wps:cNvSpPr>
                        <wps:spPr bwMode="auto">
                          <a:xfrm>
                            <a:off x="3323000" y="572762"/>
                            <a:ext cx="960100" cy="3391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B5428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环节</w:t>
                              </w:r>
                              <w:r w:rsidR="006F7DDD">
                                <w:rPr>
                                  <w:rFonts w:hint="eastAsia"/>
                                </w:rPr>
                                <w:t>1:1-3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流程图: 可选过程 7"/>
                        <wps:cNvSpPr>
                          <a:spLocks noChangeArrowheads="1"/>
                        </wps:cNvSpPr>
                        <wps:spPr bwMode="auto">
                          <a:xfrm>
                            <a:off x="1310000" y="1670681"/>
                            <a:ext cx="2852400" cy="541709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6F7D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镇（街）自然资源分局分配宗地信息，并将图形数据入库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圆角矩形 11"/>
                        <wps:cNvSpPr>
                          <a:spLocks noChangeArrowheads="1"/>
                        </wps:cNvSpPr>
                        <wps:spPr bwMode="auto">
                          <a:xfrm>
                            <a:off x="1066200" y="854067"/>
                            <a:ext cx="3332400" cy="5010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6F7D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不动产登记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中心权籍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调查组预测报告审查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圆角矩形 19"/>
                        <wps:cNvSpPr>
                          <a:spLocks noChangeArrowheads="1"/>
                        </wps:cNvSpPr>
                        <wps:spPr bwMode="auto">
                          <a:xfrm>
                            <a:off x="1310000" y="125054"/>
                            <a:ext cx="1304900" cy="4477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6F7D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房地产开发企业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圆角矩形 29"/>
                        <wps:cNvSpPr>
                          <a:spLocks noChangeArrowheads="1"/>
                        </wps:cNvSpPr>
                        <wps:spPr bwMode="auto">
                          <a:xfrm>
                            <a:off x="2774300" y="125054"/>
                            <a:ext cx="1287200" cy="4477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6F7D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房地产测绘单位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直接箭头连接符 31"/>
                        <wps:cNvCnPr>
                          <a:cxnSpLocks noChangeShapeType="1"/>
                        </wps:cNvCnPr>
                        <wps:spPr bwMode="auto">
                          <a:xfrm>
                            <a:off x="1973600" y="572762"/>
                            <a:ext cx="600" cy="268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圆角矩形 36"/>
                        <wps:cNvSpPr>
                          <a:spLocks noChangeArrowheads="1"/>
                        </wps:cNvSpPr>
                        <wps:spPr bwMode="auto">
                          <a:xfrm>
                            <a:off x="1659300" y="2518496"/>
                            <a:ext cx="2171000" cy="599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6F7D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房地产测绘单位补录房屋权籍数据</w:t>
                              </w:r>
                            </w:p>
                            <w:p w:rsidR="006F7DDD" w:rsidRDefault="006F7DDD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圆角矩形 39"/>
                        <wps:cNvSpPr>
                          <a:spLocks noChangeArrowheads="1"/>
                        </wps:cNvSpPr>
                        <wps:spPr bwMode="auto">
                          <a:xfrm>
                            <a:off x="1669400" y="3376911"/>
                            <a:ext cx="2160900" cy="3867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DD" w:rsidRDefault="006F7D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不动产交易所项目建档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直接箭头连接符 40"/>
                        <wps:cNvCnPr>
                          <a:cxnSpLocks noChangeShapeType="1"/>
                        </wps:cNvCnPr>
                        <wps:spPr bwMode="auto">
                          <a:xfrm>
                            <a:off x="3418200" y="572762"/>
                            <a:ext cx="100" cy="268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接箭头连接符 51"/>
                        <wps:cNvCnPr>
                          <a:cxnSpLocks noChangeShapeType="1"/>
                          <a:stCxn id="8" idx="2"/>
                          <a:endCxn id="9" idx="0"/>
                        </wps:cNvCnPr>
                        <wps:spPr bwMode="auto">
                          <a:xfrm>
                            <a:off x="2745100" y="3130607"/>
                            <a:ext cx="5100" cy="2336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接箭头连接符 5"/>
                        <wps:cNvCnPr>
                          <a:cxnSpLocks noChangeShapeType="1"/>
                          <a:stCxn id="4" idx="2"/>
                        </wps:cNvCnPr>
                        <wps:spPr bwMode="auto">
                          <a:xfrm>
                            <a:off x="2732400" y="1367776"/>
                            <a:ext cx="4500" cy="315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接箭头连接符 6"/>
                        <wps:cNvCnPr>
                          <a:cxnSpLocks noChangeShapeType="1"/>
                          <a:stCxn id="3" idx="2"/>
                        </wps:cNvCnPr>
                        <wps:spPr bwMode="auto">
                          <a:xfrm>
                            <a:off x="2736200" y="2225091"/>
                            <a:ext cx="8300" cy="293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2400" y="2212391"/>
                            <a:ext cx="647700" cy="2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DDD" w:rsidRDefault="00BE5A49">
                              <w:r>
                                <w:rPr>
                                  <w:rFonts w:hint="eastAsia"/>
                                </w:rPr>
                                <w:t>环节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6F7DDD">
                                <w:rPr>
                                  <w:rFonts w:hint="eastAsia"/>
                                </w:rPr>
                                <w:t>:4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6" o:spid="_x0000_s1026" editas="canvas" style="width:393pt;height:296.25pt;mso-position-horizontal-relative:char;mso-position-vertical-relative:line" coordsize="49911,3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11;height:37623;visibility:visible;mso-wrap-style:square">
                  <v:fill o:detectmouseclick="t"/>
                  <v:path o:connecttype="none"/>
                </v:shape>
                <v:roundrect id="圆角矩形 30" o:spid="_x0000_s1028" style="position:absolute;left:11551;top:5619;width:9023;height:34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DMsIA&#10;AADaAAAADwAAAGRycy9kb3ducmV2LnhtbERPS2vCQBC+F/wPywje6sYKPqIbkZZCKb34QrwN2clD&#10;s7MhuyZpf31XKPQ0fHzPWW96U4mWGldaVjAZRyCIU6tLzhUcD+/PCxDOI2usLJOCb3KwSQZPa4y1&#10;7XhH7d7nIoSwi1FB4X0dS+nSggy6sa2JA5fZxqAPsMmlbrAL4aaSL1E0kwZLDg0F1vRaUHrb342C&#10;8rM7zS/L6eGrqq/n2c/bOW+zqVKjYb9dgfDU+3/xn/tDh/nweOVxZf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4MywgAAANoAAAAPAAAAAAAAAAAAAAAAAJgCAABkcnMvZG93&#10;bnJldi54bWxQSwUGAAAAAAQABAD1AAAAhwMAAAAA&#10;" fillcolor="white [3201]" strokecolor="white [3212]" strokeweight="2pt">
                  <v:stroke dashstyle="1 1"/>
                  <v:textbox>
                    <w:txbxContent>
                      <w:p w:rsidR="006F7DDD" w:rsidRDefault="00B54285">
                        <w:r>
                          <w:rPr>
                            <w:rFonts w:hint="eastAsia"/>
                          </w:rPr>
                          <w:t>环节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 w:rsidR="006F7DDD">
                          <w:rPr>
                            <w:rFonts w:hint="eastAsia"/>
                          </w:rPr>
                          <w:t>:4-</w:t>
                        </w:r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roundrect>
                <v:roundrect id="圆角矩形 32" o:spid="_x0000_s1029" style="position:absolute;left:33230;top:5727;width:9601;height:3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dRcUA&#10;AADaAAAADwAAAGRycy9kb3ducmV2LnhtbESPS2vDMBCE74X8B7GB3Bo5CeThRA6hJVBKL3kRclus&#10;9SOxVsZSbbe/vioUehxm5htms+1NJVpqXGlZwWQcgSBOrS45V3A+7Z+XIJxH1lhZJgVf5GCbDJ42&#10;GGvb8YHao89FgLCLUUHhfR1L6dKCDLqxrYmDl9nGoA+yyaVusAtwU8lpFM2lwZLDQoE1vRSUPo6f&#10;RkH53l0Wt9Xs9FHV9+v8+/Wat9lMqdGw361BeOr9f/iv/aYVTOH3Sr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R1FxQAAANoAAAAPAAAAAAAAAAAAAAAAAJgCAABkcnMv&#10;ZG93bnJldi54bWxQSwUGAAAAAAQABAD1AAAAigMAAAAA&#10;" fillcolor="white [3201]" strokecolor="white [3212]" strokeweight="2pt">
                  <v:stroke dashstyle="1 1"/>
                  <v:textbox>
                    <w:txbxContent>
                      <w:p w:rsidR="006F7DDD" w:rsidRDefault="00B5428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环节</w:t>
                        </w:r>
                        <w:r w:rsidR="006F7DDD">
                          <w:rPr>
                            <w:rFonts w:hint="eastAsia"/>
                          </w:rPr>
                          <w:t>1:1-3</w:t>
                        </w:r>
                      </w:p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7" o:spid="_x0000_s1030" type="#_x0000_t176" style="position:absolute;left:13100;top:16706;width:28524;height:5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1p8QA&#10;AADaAAAADwAAAGRycy9kb3ducmV2LnhtbESPQWvCQBSE74X+h+UVvNVNFaykriGtWATxYPTS23P3&#10;mYRm34bsRlN/vVso9DjMzDfMIhtsIy7U+dqxgpdxAoJYO1NzqeB4WD/PQfiAbLBxTAp+yEO2fHxY&#10;YGrclfd0KUIpIoR9igqqENpUSq8rsujHriWO3tl1FkOUXSlNh9cIt42cJMlMWqw5LlTY0kdF+rvo&#10;rYJ81csTT4z+vPX28Lqd7d71106p0dOQv4EINIT/8F97YxRM4fdKv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LtafEAAAA2gAAAA8AAAAAAAAAAAAAAAAAmAIAAGRycy9k&#10;b3ducmV2LnhtbFBLBQYAAAAABAAEAPUAAACJAwAAAAA=&#10;" fillcolor="white [3201]" strokecolor="#4f81bd [3204]" strokeweight="2pt">
                  <v:textbox>
                    <w:txbxContent>
                      <w:p w:rsidR="006F7DDD" w:rsidRDefault="006F7D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镇（街）自然资源分局分配宗地信息，并将图形数据入库</w:t>
                        </w:r>
                      </w:p>
                    </w:txbxContent>
                  </v:textbox>
                </v:shape>
                <v:roundrect id="圆角矩形 11" o:spid="_x0000_s1031" style="position:absolute;left:10662;top:8540;width:33324;height:50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4P8IA&#10;AADaAAAADwAAAGRycy9kb3ducmV2LnhtbESPQWvCQBSE74L/YXlCb7ppkSqpq6gQKLQejD30+Mi+&#10;JqHZt2H3VVN/vSsUehxm5htmtRlcp84UYuvZwOMsA0VcedtybeDjVEyXoKIgW+w8k4FfirBZj0cr&#10;zK2/8JHOpdQqQTjmaKAR6XOtY9WQwzjzPXHyvnxwKEmGWtuAlwR3nX7KsmftsOW00GBP+4aq7/LH&#10;GYhLvZPi4On9cy5v28W1KDkUxjxMhu0LKKFB/sN/7VdrYA73K+kG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fg/wgAAANoAAAAPAAAAAAAAAAAAAAAAAJgCAABkcnMvZG93&#10;bnJldi54bWxQSwUGAAAAAAQABAD1AAAAhwMAAAAA&#10;" fillcolor="white [3201]" strokecolor="#4f81bd [3204]" strokeweight="2pt">
                  <v:textbox>
                    <w:txbxContent>
                      <w:p w:rsidR="006F7DDD" w:rsidRDefault="006F7D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不动产登记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中心权籍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调查组预测报告审查</w:t>
                        </w:r>
                      </w:p>
                    </w:txbxContent>
                  </v:textbox>
                </v:roundrect>
                <v:roundrect id="圆角矩形 19" o:spid="_x0000_s1032" style="position:absolute;left:13100;top:1250;width:13049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FdpMMA&#10;AADaAAAADwAAAGRycy9kb3ducmV2LnhtbESPQWvCQBSE7wX/w/IEb3Wj2Cqpq2ghILQ9GHvo8ZF9&#10;TYLZt2H3VWN/fbdQ6HGYmW+Y9XZwnbpQiK1nA7NpBoq48rbl2sD7qbhfgYqCbLHzTAZuFGG7Gd2t&#10;Mbf+yke6lFKrBOGYo4FGpM+1jlVDDuPU98TJ+/TBoSQZam0DXhPcdXqeZY/aYctpocGenhuqzuWX&#10;MxBXei/Fm6fXj4W87JbfRcmhMGYyHnZPoIQG+Q//tQ/WwAP8Xk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FdpMMAAADaAAAADwAAAAAAAAAAAAAAAACYAgAAZHJzL2Rv&#10;d25yZXYueG1sUEsFBgAAAAAEAAQA9QAAAIgDAAAAAA==&#10;" fillcolor="white [3201]" strokecolor="#4f81bd [3204]" strokeweight="2pt">
                  <v:textbox>
                    <w:txbxContent>
                      <w:p w:rsidR="006F7DDD" w:rsidRDefault="006F7D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房地产开发企业</w:t>
                        </w:r>
                      </w:p>
                    </w:txbxContent>
                  </v:textbox>
                </v:roundrect>
                <v:roundrect id="圆角矩形 29" o:spid="_x0000_s1033" style="position:absolute;left:27743;top:1250;width:12872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D08IA&#10;AADaAAAADwAAAGRycy9kb3ducmV2LnhtbESPQWvCQBSE7wX/w/KE3urGIlaiq6gQENoeGj14fGSf&#10;STD7Nuy+atpf3y0Uehxm5htmtRlcp24UYuvZwHSSgSKuvG25NnA6Fk8LUFGQLXaeycAXRdisRw8r&#10;zK2/8wfdSqlVgnDM0UAj0udax6ohh3Hie+LkXXxwKEmGWtuA9wR3nX7Osrl22HJaaLCnfUPVtfx0&#10;BuJC76R49/R2nsnr9uW7KDkUxjyOh+0SlNAg/+G/9sE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8PTwgAAANoAAAAPAAAAAAAAAAAAAAAAAJgCAABkcnMvZG93&#10;bnJldi54bWxQSwUGAAAAAAQABAD1AAAAhwMAAAAA&#10;" fillcolor="white [3201]" strokecolor="#4f81bd [3204]" strokeweight="2pt">
                  <v:textbox>
                    <w:txbxContent>
                      <w:p w:rsidR="006F7DDD" w:rsidRDefault="006F7D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房地产测绘单位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1" o:spid="_x0000_s1034" type="#_x0000_t32" style="position:absolute;left:19736;top:5727;width:6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qSMMAAADaAAAADwAAAGRycy9kb3ducmV2LnhtbESPT2uDQBTE74F+h+UVekvWNpiKcRUJ&#10;SHpt/kB7e3VfVOK+FXdN7LfvFgo9DjPzGyYrZtOLG42us6zgeRWBIK6t7rhRcDpWywSE88gae8uk&#10;4JscFPnDIsNU2zu/0+3gGxEg7FJU0Ho/pFK6uiWDbmUH4uBd7GjQBzk2Uo94D3DTy5co2kiDHYeF&#10;FgfatVRfD5NRsL58zfvElzKpPuxumuI4PlefSj09zuUWhKfZ/4f/2m9awSv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9qkjDAAAA2gAAAA8AAAAAAAAAAAAA&#10;AAAAoQIAAGRycy9kb3ducmV2LnhtbFBLBQYAAAAABAAEAPkAAACRAwAAAAA=&#10;" strokecolor="#4579b8 [3044]">
                  <v:stroke endarrow="open"/>
                </v:shape>
                <v:roundrect id="圆角矩形 36" o:spid="_x0000_s1035" style="position:absolute;left:16593;top:25184;width:21710;height:5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yOr8A&#10;AADaAAAADwAAAGRycy9kb3ducmV2LnhtbERPTWvCQBC9F/wPywi91Y1FWomuokJAsD00evA4ZMck&#10;mJ0Nu1NN/fXdQ6HHx/tergfXqRuF2Ho2MJ1koIgrb1uuDZyOxcscVBRki51nMvBDEdar0dMSc+vv&#10;/EW3UmqVQjjmaKAR6XOtY9WQwzjxPXHiLj44lARDrW3Aewp3nX7NsjftsOXU0GBPu4aqa/ntDMS5&#10;3krx6enjPJPD5v1RlBwKY57Hw2YBSmiQf/Gfe28NpK3pSroB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PI6vwAAANoAAAAPAAAAAAAAAAAAAAAAAJgCAABkcnMvZG93bnJl&#10;di54bWxQSwUGAAAAAAQABAD1AAAAhAMAAAAA&#10;" fillcolor="white [3201]" strokecolor="#4f81bd [3204]" strokeweight="2pt">
                  <v:textbox>
                    <w:txbxContent>
                      <w:p w:rsidR="006F7DDD" w:rsidRDefault="006F7D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房地产测绘单位补录房屋权籍数据</w:t>
                        </w:r>
                      </w:p>
                      <w:p w:rsidR="006F7DDD" w:rsidRDefault="006F7DDD"/>
                    </w:txbxContent>
                  </v:textbox>
                </v:roundrect>
                <v:roundrect id="圆角矩形 39" o:spid="_x0000_s1036" style="position:absolute;left:16694;top:33769;width:21609;height:3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XocMA&#10;AADaAAAADwAAAGRycy9kb3ducmV2LnhtbESPQWvCQBSE7wX/w/IK3uqmpVgbXUULAcH2YOzB4yP7&#10;TILZt2H3VdP++m6h4HGYmW+YxWpwnbpQiK1nA4+TDBRx5W3LtYHPQ/EwAxUF2WLnmQx8U4TVcnS3&#10;wNz6K+/pUkqtEoRjjgYakT7XOlYNOYwT3xMn7+SDQ0ky1NoGvCa46/RTlk21w5bTQoM9vTVUncsv&#10;ZyDO9EaKD0/vx2fZrV9+ipJDYcz4fljPQQkNcgv/t7fWwCv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xXocMAAADaAAAADwAAAAAAAAAAAAAAAACYAgAAZHJzL2Rv&#10;d25yZXYueG1sUEsFBgAAAAAEAAQA9QAAAIgDAAAAAA==&#10;" fillcolor="white [3201]" strokecolor="#4f81bd [3204]" strokeweight="2pt">
                  <v:textbox>
                    <w:txbxContent>
                      <w:p w:rsidR="006F7DDD" w:rsidRDefault="006F7D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不动产交易所项目建档</w:t>
                        </w:r>
                      </w:p>
                    </w:txbxContent>
                  </v:textbox>
                </v:roundrect>
                <v:shape id="直接箭头连接符 40" o:spid="_x0000_s1037" type="#_x0000_t32" style="position:absolute;left:34182;top:5727;width:1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hC1s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hl1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YQtbDAAAA2wAAAA8AAAAAAAAAAAAA&#10;AAAAoQIAAGRycy9kb3ducmV2LnhtbFBLBQYAAAAABAAEAPkAAACRAwAAAAA=&#10;" strokecolor="#4579b8 [3044]">
                  <v:stroke endarrow="open"/>
                </v:shape>
                <v:shape id="直接箭头连接符 51" o:spid="_x0000_s1038" type="#_x0000_t32" style="position:absolute;left:27451;top:31306;width:51;height:2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<v:stroke endarrow="open"/>
                </v:shape>
                <v:shape id="直接箭头连接符 5" o:spid="_x0000_s1039" type="#_x0000_t32" style="position:absolute;left:27324;top:13677;width:45;height:3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5OsEAAADbAAAADwAAAGRycy9kb3ducmV2LnhtbERPTWvDMAy9F/YfjAa7Nc5SUkJat5RC&#10;WK/rOthuWqwmobEcYif1/v08GOymx/vUdh9ML2YaXWdZwXOSgiCure64UXB5q5YFCOeRNfaWScE3&#10;OdjvHhZbLLW98yvNZ9+IGMKuRAWt90MppatbMugSOxBH7mpHgz7CsZF6xHsMN73M0nQtDXYcG1oc&#10;6NhSfTtPRsHq+hVeCn+QRfVhj9OU5/l79anU02M4bEB4Cv5f/Oc+6Tg/g9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nk6wQAAANsAAAAPAAAAAAAAAAAAAAAA&#10;AKECAABkcnMvZG93bnJldi54bWxQSwUGAAAAAAQABAD5AAAAjwMAAAAA&#10;" strokecolor="#4579b8 [3044]">
                  <v:stroke endarrow="open"/>
                </v:shape>
                <v:shape id="直接箭头连接符 6" o:spid="_x0000_s1040" type="#_x0000_t32" style="position:absolute;left:27362;top:22250;width:83;height:2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1" type="#_x0000_t202" style="position:absolute;left:27324;top:22123;width:6477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6F7DDD" w:rsidRDefault="00BE5A49">
                        <w:r>
                          <w:rPr>
                            <w:rFonts w:hint="eastAsia"/>
                          </w:rPr>
                          <w:t>环节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 w:rsidR="006F7DDD">
                          <w:rPr>
                            <w:rFonts w:hint="eastAsia"/>
                          </w:rPr>
                          <w:t>:4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EB4C20" w:rsidRDefault="00EB4C20">
      <w:pPr>
        <w:sectPr w:rsidR="00EB4C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1E05" w:rsidRPr="00FC19E7" w:rsidRDefault="009D1E05" w:rsidP="00FC19E7">
      <w:pPr>
        <w:jc w:val="center"/>
        <w:rPr>
          <w:rFonts w:ascii="方正小标宋简体" w:eastAsia="方正小标宋简体"/>
          <w:sz w:val="36"/>
          <w:szCs w:val="36"/>
        </w:rPr>
      </w:pPr>
      <w:r w:rsidRPr="00FC19E7">
        <w:rPr>
          <w:rFonts w:ascii="方正小标宋简体" w:eastAsia="方正小标宋简体" w:hint="eastAsia"/>
          <w:sz w:val="36"/>
          <w:szCs w:val="36"/>
        </w:rPr>
        <w:lastRenderedPageBreak/>
        <w:t>东莞市不动产预告登记权</w:t>
      </w:r>
      <w:proofErr w:type="gramStart"/>
      <w:r w:rsidRPr="00FC19E7">
        <w:rPr>
          <w:rFonts w:ascii="方正小标宋简体" w:eastAsia="方正小标宋简体" w:hint="eastAsia"/>
          <w:sz w:val="36"/>
          <w:szCs w:val="36"/>
        </w:rPr>
        <w:t>籍调查</w:t>
      </w:r>
      <w:proofErr w:type="gramEnd"/>
      <w:r w:rsidRPr="00FC19E7">
        <w:rPr>
          <w:rFonts w:ascii="方正小标宋简体" w:eastAsia="方正小标宋简体" w:hint="eastAsia"/>
          <w:sz w:val="36"/>
          <w:szCs w:val="36"/>
        </w:rPr>
        <w:t>审查收件清单（市局部分）</w:t>
      </w: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1080"/>
        <w:gridCol w:w="5860"/>
        <w:gridCol w:w="1864"/>
        <w:gridCol w:w="1417"/>
        <w:gridCol w:w="1679"/>
        <w:gridCol w:w="2860"/>
      </w:tblGrid>
      <w:tr w:rsidR="009D1E05" w:rsidRPr="009D1E05" w:rsidTr="00FC19E7">
        <w:trPr>
          <w:trHeight w:val="540"/>
        </w:trPr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环节1：东莞市不动产登记</w:t>
            </w:r>
            <w:proofErr w:type="gramStart"/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中心权籍</w:t>
            </w:r>
            <w:proofErr w:type="gramEnd"/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调查组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日期：2019年6月</w:t>
            </w:r>
          </w:p>
        </w:tc>
      </w:tr>
      <w:tr w:rsidR="009D1E05" w:rsidRPr="009D1E05" w:rsidTr="00FC19E7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9D1E0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9D1E0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名称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9D1E0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提供单位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9D1E0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是否收费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9D1E0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版式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9D1E0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9D1E05" w:rsidRPr="009D1E05" w:rsidTr="006045F6">
        <w:trPr>
          <w:trHeight w:val="122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不动产测量报告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房产测量公司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是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电子版1份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1、不包含原房产预测报告内容；</w:t>
            </w: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2、由测量公司按照市场定价向申请人收取。</w:t>
            </w:r>
          </w:p>
        </w:tc>
      </w:tr>
      <w:tr w:rsidR="009D1E05" w:rsidRPr="009D1E05" w:rsidTr="006045F6">
        <w:trPr>
          <w:trHeight w:val="55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9E7" w:rsidRPr="009D1E05" w:rsidRDefault="009D1E05" w:rsidP="00FC1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房屋基本信息表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备注土地权利证书编号</w:t>
            </w:r>
          </w:p>
        </w:tc>
      </w:tr>
      <w:tr w:rsidR="009D1E05" w:rsidRPr="009D1E05" w:rsidTr="006045F6">
        <w:trPr>
          <w:trHeight w:val="49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建筑物区分所有权业主共有部分调查表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FC19E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房屋共有建筑面积分摊计算表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6045F6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分层图（注释明显房号）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FC19E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测量单线图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电子版1份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FC19E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测量成果质检报告（盖章）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扫描件1份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FC19E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建设工程规划许可证及其附件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扫描件1份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FC19E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规划报建图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电子版1份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FC19E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方案册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spacing w:val="-20"/>
                <w:kern w:val="0"/>
                <w:sz w:val="26"/>
                <w:szCs w:val="26"/>
              </w:rPr>
              <w:t>纸质原件</w:t>
            </w:r>
            <w:r w:rsidR="00FC19E7" w:rsidRPr="00FC19E7">
              <w:rPr>
                <w:rFonts w:ascii="仿宋_GB2312" w:eastAsia="仿宋_GB2312" w:hAnsi="宋体" w:cs="宋体" w:hint="eastAsia"/>
                <w:spacing w:val="-20"/>
                <w:kern w:val="0"/>
                <w:sz w:val="26"/>
                <w:szCs w:val="26"/>
              </w:rPr>
              <w:t>1</w:t>
            </w:r>
            <w:r w:rsidRPr="009D1E05">
              <w:rPr>
                <w:rFonts w:ascii="仿宋_GB2312" w:eastAsia="仿宋_GB2312" w:hAnsi="宋体" w:cs="宋体" w:hint="eastAsia"/>
                <w:spacing w:val="-20"/>
                <w:kern w:val="0"/>
                <w:sz w:val="26"/>
                <w:szCs w:val="26"/>
              </w:rPr>
              <w:t>份</w:t>
            </w:r>
            <w:r w:rsidRPr="009D1E05">
              <w:rPr>
                <w:rFonts w:ascii="仿宋_GB2312" w:eastAsia="仿宋_GB2312" w:hAnsi="宋体" w:cs="宋体" w:hint="eastAsia"/>
                <w:spacing w:val="-20"/>
                <w:kern w:val="0"/>
                <w:sz w:val="26"/>
                <w:szCs w:val="26"/>
              </w:rPr>
              <w:br/>
              <w:t>扫描件1份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D1E05" w:rsidRPr="009D1E05" w:rsidTr="00FC19E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楼盘名称及地址证明文件</w:t>
            </w: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05" w:rsidRPr="009D1E05" w:rsidRDefault="009D1E05" w:rsidP="009D1E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扫描件1份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05" w:rsidRPr="009D1E05" w:rsidRDefault="009D1E05" w:rsidP="009D1E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9D1E0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9D1E05" w:rsidRPr="00302F57" w:rsidRDefault="00302F57" w:rsidP="00302F57">
      <w:pPr>
        <w:jc w:val="center"/>
        <w:rPr>
          <w:rFonts w:ascii="方正小标宋简体" w:eastAsia="方正小标宋简体"/>
          <w:sz w:val="36"/>
          <w:szCs w:val="36"/>
        </w:rPr>
      </w:pPr>
      <w:r w:rsidRPr="00302F57">
        <w:rPr>
          <w:rFonts w:ascii="方正小标宋简体" w:eastAsia="方正小标宋简体" w:hint="eastAsia"/>
          <w:sz w:val="36"/>
          <w:szCs w:val="36"/>
        </w:rPr>
        <w:lastRenderedPageBreak/>
        <w:t>东莞市不动产预告登记权</w:t>
      </w:r>
      <w:proofErr w:type="gramStart"/>
      <w:r w:rsidRPr="00302F57">
        <w:rPr>
          <w:rFonts w:ascii="方正小标宋简体" w:eastAsia="方正小标宋简体" w:hint="eastAsia"/>
          <w:sz w:val="36"/>
          <w:szCs w:val="36"/>
        </w:rPr>
        <w:t>籍调查</w:t>
      </w:r>
      <w:proofErr w:type="gramEnd"/>
      <w:r w:rsidRPr="00302F57">
        <w:rPr>
          <w:rFonts w:ascii="方正小标宋简体" w:eastAsia="方正小标宋简体" w:hint="eastAsia"/>
          <w:sz w:val="36"/>
          <w:szCs w:val="36"/>
        </w:rPr>
        <w:t>审查成果清单（市局部分）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1559"/>
        <w:gridCol w:w="1560"/>
        <w:gridCol w:w="1984"/>
        <w:gridCol w:w="2268"/>
        <w:gridCol w:w="1276"/>
        <w:gridCol w:w="1134"/>
        <w:gridCol w:w="1701"/>
      </w:tblGrid>
      <w:tr w:rsidR="00304555" w:rsidRPr="00527E95" w:rsidTr="006E7E42">
        <w:trPr>
          <w:trHeight w:val="54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555" w:rsidRPr="000E0DD8" w:rsidRDefault="00304555" w:rsidP="000E0DD8">
            <w:r w:rsidRPr="000E0DD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环节2：东莞市不动产登记</w:t>
            </w:r>
            <w:proofErr w:type="gramStart"/>
            <w:r w:rsidRPr="000E0DD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中心权籍</w:t>
            </w:r>
            <w:proofErr w:type="gramEnd"/>
            <w:r w:rsidRPr="000E0DD8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调查组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55" w:rsidRPr="00527E95" w:rsidRDefault="00304555" w:rsidP="00527E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55" w:rsidRPr="00527E95" w:rsidRDefault="00304555" w:rsidP="00527E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55" w:rsidRPr="00527E95" w:rsidRDefault="00304555" w:rsidP="00527E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555" w:rsidRPr="00527E95" w:rsidRDefault="00304555" w:rsidP="00527E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日期：2019年6月</w:t>
            </w:r>
          </w:p>
        </w:tc>
      </w:tr>
      <w:tr w:rsidR="00845745" w:rsidRPr="00527E95" w:rsidTr="006E7E42">
        <w:trPr>
          <w:trHeight w:val="5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提供单位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盖章确认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盖章确认时限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成果使用单位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是否收费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版式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27E95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845745" w:rsidRPr="00527E95" w:rsidTr="006E7E42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不动产测量报告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4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房产测</w:t>
            </w:r>
          </w:p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量公司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84574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1、房产测量公司</w:t>
            </w: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2、东莞市不动产登记</w:t>
            </w:r>
            <w:proofErr w:type="gramStart"/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中心权籍</w:t>
            </w:r>
            <w:proofErr w:type="gramEnd"/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调查组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自收件日期起10个工作日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84574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1、东莞市不动产交易所</w:t>
            </w: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2、自然资源分局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纸质原件2份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不包含原房产预测报告内容</w:t>
            </w:r>
          </w:p>
        </w:tc>
      </w:tr>
      <w:tr w:rsidR="00845745" w:rsidRPr="00527E95" w:rsidTr="006E7E42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房屋基本信息表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84574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备注土地权利证书编号</w:t>
            </w:r>
          </w:p>
        </w:tc>
      </w:tr>
      <w:tr w:rsidR="00845745" w:rsidRPr="00527E95" w:rsidTr="006E7E42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建筑物区分所有权业主共有部分调查表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84574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45745" w:rsidRPr="00527E95" w:rsidTr="006E7E42">
        <w:trPr>
          <w:trHeight w:val="8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房屋共有建筑面积分摊计算表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84574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45745" w:rsidRPr="00527E95" w:rsidTr="006E7E42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分层图（注释明显房号）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84574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45745" w:rsidRPr="00527E95" w:rsidTr="006E7E42">
        <w:trPr>
          <w:trHeight w:val="1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不动产测绘审查报告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东莞市不动产登记</w:t>
            </w:r>
            <w:proofErr w:type="gramStart"/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中心权籍</w:t>
            </w:r>
            <w:proofErr w:type="gramEnd"/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调查组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东莞市不动产登记</w:t>
            </w:r>
            <w:proofErr w:type="gramStart"/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中心权籍</w:t>
            </w:r>
            <w:proofErr w:type="gramEnd"/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调查组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自收件日期起10个工作日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84574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东莞市不动产交易所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纸质原件1份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95" w:rsidRPr="00527E95" w:rsidRDefault="00527E95" w:rsidP="00527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27E95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302F57" w:rsidRDefault="00302F57"/>
    <w:p w:rsidR="009C526B" w:rsidRDefault="009C526B"/>
    <w:p w:rsidR="009C526B" w:rsidRDefault="009C526B"/>
    <w:p w:rsidR="009C526B" w:rsidRDefault="009C526B"/>
    <w:p w:rsidR="009C526B" w:rsidRDefault="009C526B"/>
    <w:p w:rsidR="009C526B" w:rsidRDefault="009C526B"/>
    <w:p w:rsidR="009C526B" w:rsidRDefault="009C526B"/>
    <w:p w:rsidR="009C526B" w:rsidRPr="00E43B9C" w:rsidRDefault="005C4637" w:rsidP="00E43B9C">
      <w:pPr>
        <w:jc w:val="center"/>
        <w:rPr>
          <w:rFonts w:ascii="方正小标宋简体" w:eastAsia="方正小标宋简体"/>
          <w:sz w:val="36"/>
          <w:szCs w:val="36"/>
        </w:rPr>
      </w:pPr>
      <w:r w:rsidRPr="00E43B9C">
        <w:rPr>
          <w:rFonts w:ascii="方正小标宋简体" w:eastAsia="方正小标宋简体" w:hint="eastAsia"/>
          <w:sz w:val="36"/>
          <w:szCs w:val="36"/>
        </w:rPr>
        <w:t>东莞市不动产预告登记权</w:t>
      </w:r>
      <w:proofErr w:type="gramStart"/>
      <w:r w:rsidRPr="00E43B9C">
        <w:rPr>
          <w:rFonts w:ascii="方正小标宋简体" w:eastAsia="方正小标宋简体" w:hint="eastAsia"/>
          <w:sz w:val="36"/>
          <w:szCs w:val="36"/>
        </w:rPr>
        <w:t>籍调查</w:t>
      </w:r>
      <w:proofErr w:type="gramEnd"/>
      <w:r w:rsidRPr="00E43B9C">
        <w:rPr>
          <w:rFonts w:ascii="方正小标宋简体" w:eastAsia="方正小标宋简体" w:hint="eastAsia"/>
          <w:sz w:val="36"/>
          <w:szCs w:val="36"/>
        </w:rPr>
        <w:t>数据入库服务清单（分局部分）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2693"/>
        <w:gridCol w:w="1843"/>
        <w:gridCol w:w="2835"/>
        <w:gridCol w:w="1559"/>
        <w:gridCol w:w="1559"/>
        <w:gridCol w:w="3261"/>
      </w:tblGrid>
      <w:tr w:rsidR="00692C2A" w:rsidRPr="005C4637" w:rsidTr="00552121">
        <w:trPr>
          <w:trHeight w:val="533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637" w:rsidRPr="005C4637" w:rsidRDefault="005C4637" w:rsidP="005C46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环节3：属地自然资源分局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7" w:rsidRPr="005C4637" w:rsidRDefault="005C4637" w:rsidP="005C46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7" w:rsidRPr="005C4637" w:rsidRDefault="005C4637" w:rsidP="005C46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7" w:rsidRPr="005C4637" w:rsidRDefault="005C4637" w:rsidP="005C46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37" w:rsidRPr="005C4637" w:rsidRDefault="005C4637" w:rsidP="005C46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日期：2019年6月</w:t>
            </w:r>
          </w:p>
        </w:tc>
      </w:tr>
      <w:tr w:rsidR="00C631ED" w:rsidRPr="005C4637" w:rsidTr="00552121">
        <w:trPr>
          <w:trHeight w:val="5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C46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C46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C46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提供单位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C46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处理时限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C46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是否收费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C46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版式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jc w:val="center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C463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C631ED" w:rsidRPr="005C4637" w:rsidTr="00552121">
        <w:trPr>
          <w:trHeight w:val="4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不动产测量报告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申请人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D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纸质原</w:t>
            </w:r>
          </w:p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件1份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不包含原房产预测报告内容</w:t>
            </w:r>
          </w:p>
        </w:tc>
      </w:tr>
      <w:tr w:rsidR="00C631ED" w:rsidRPr="005C4637" w:rsidTr="0055212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房屋基本信息表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备注土地权利证书编号</w:t>
            </w:r>
          </w:p>
        </w:tc>
      </w:tr>
      <w:tr w:rsidR="00C631ED" w:rsidRPr="005C4637" w:rsidTr="00552121">
        <w:trPr>
          <w:trHeight w:val="7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建筑物区分所有权业主共有部分调查表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631ED" w:rsidRPr="005C4637" w:rsidTr="00552121">
        <w:trPr>
          <w:trHeight w:val="7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房屋共有建筑面积分摊计算表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631ED" w:rsidRPr="005C4637" w:rsidTr="00552121">
        <w:trPr>
          <w:trHeight w:val="621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1-4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分层图（注释明显房号）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631ED" w:rsidRPr="005C4637" w:rsidTr="00552121">
        <w:trPr>
          <w:trHeight w:val="4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项目总平面图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申请人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电子版1份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631ED" w:rsidRPr="005C4637" w:rsidTr="00552121">
        <w:trPr>
          <w:trHeight w:val="11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图形数据入库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自然资源分局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不动产测量报告、项目总平面图提交给自然资源分局后3个工作日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扫描件1份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proofErr w:type="gramStart"/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由权调申请人</w:t>
            </w:r>
            <w:proofErr w:type="gramEnd"/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或其代理人将成果资料提交给自然资源分局</w:t>
            </w:r>
          </w:p>
        </w:tc>
      </w:tr>
      <w:tr w:rsidR="00C631ED" w:rsidRPr="005C4637" w:rsidTr="00552121">
        <w:trPr>
          <w:trHeight w:val="16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不动产单元号（宗地号、幢号）说明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E43B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自然资源分局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不动产测量报告、项目总平面图提交给自然资源分局时当场出具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2A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纸质原</w:t>
            </w:r>
          </w:p>
          <w:p w:rsidR="005C4637" w:rsidRPr="005C4637" w:rsidRDefault="005C4637" w:rsidP="005731D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件1份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37" w:rsidRPr="005C4637" w:rsidRDefault="005C4637" w:rsidP="005C46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1、</w:t>
            </w:r>
            <w:proofErr w:type="gramStart"/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由权调申请人</w:t>
            </w:r>
            <w:proofErr w:type="gramEnd"/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或其代理人领取后提交给房产测量公司；</w:t>
            </w:r>
            <w:r w:rsidRPr="005C4637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br/>
              <w:t>2、由自然资源分局经办人签字，无需盖章。</w:t>
            </w:r>
          </w:p>
        </w:tc>
      </w:tr>
    </w:tbl>
    <w:p w:rsidR="005C4637" w:rsidRPr="005C4637" w:rsidRDefault="005C4637"/>
    <w:sectPr w:rsidR="005C4637" w:rsidRPr="005C4637" w:rsidSect="00370AE2">
      <w:pgSz w:w="16838" w:h="11906" w:orient="landscape" w:code="9"/>
      <w:pgMar w:top="1134" w:right="1134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B1" w:rsidRDefault="009225B1" w:rsidP="006F7DDD">
      <w:r>
        <w:separator/>
      </w:r>
    </w:p>
  </w:endnote>
  <w:endnote w:type="continuationSeparator" w:id="0">
    <w:p w:rsidR="009225B1" w:rsidRDefault="009225B1" w:rsidP="006F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B1" w:rsidRDefault="009225B1" w:rsidP="006F7DDD">
      <w:r>
        <w:separator/>
      </w:r>
    </w:p>
  </w:footnote>
  <w:footnote w:type="continuationSeparator" w:id="0">
    <w:p w:rsidR="009225B1" w:rsidRDefault="009225B1" w:rsidP="006F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C4"/>
    <w:rsid w:val="000E0DD8"/>
    <w:rsid w:val="001F0DAF"/>
    <w:rsid w:val="002844F3"/>
    <w:rsid w:val="00302F57"/>
    <w:rsid w:val="00304555"/>
    <w:rsid w:val="00364AB3"/>
    <w:rsid w:val="00370AE2"/>
    <w:rsid w:val="003C5879"/>
    <w:rsid w:val="00521A04"/>
    <w:rsid w:val="00527E95"/>
    <w:rsid w:val="00552121"/>
    <w:rsid w:val="005731D7"/>
    <w:rsid w:val="005C4637"/>
    <w:rsid w:val="006045F6"/>
    <w:rsid w:val="00625E49"/>
    <w:rsid w:val="00661C4F"/>
    <w:rsid w:val="00692C2A"/>
    <w:rsid w:val="006D067B"/>
    <w:rsid w:val="006E7E42"/>
    <w:rsid w:val="006F7DDD"/>
    <w:rsid w:val="007540CA"/>
    <w:rsid w:val="00845745"/>
    <w:rsid w:val="009225B1"/>
    <w:rsid w:val="00937F3A"/>
    <w:rsid w:val="009C526B"/>
    <w:rsid w:val="009D1E05"/>
    <w:rsid w:val="00B54285"/>
    <w:rsid w:val="00BB3F4A"/>
    <w:rsid w:val="00BE5A49"/>
    <w:rsid w:val="00C01E70"/>
    <w:rsid w:val="00C05B23"/>
    <w:rsid w:val="00C631ED"/>
    <w:rsid w:val="00CE2C68"/>
    <w:rsid w:val="00DB0826"/>
    <w:rsid w:val="00DB6BA2"/>
    <w:rsid w:val="00DD2B1F"/>
    <w:rsid w:val="00E43B9C"/>
    <w:rsid w:val="00E67803"/>
    <w:rsid w:val="00EB4C20"/>
    <w:rsid w:val="00F852C4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230</Words>
  <Characters>1315</Characters>
  <Application>Microsoft Office Word</Application>
  <DocSecurity>0</DocSecurity>
  <Lines>10</Lines>
  <Paragraphs>3</Paragraphs>
  <ScaleCrop>false</ScaleCrop>
  <Company>Chinese ORG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47</cp:revision>
  <dcterms:created xsi:type="dcterms:W3CDTF">2019-06-14T07:28:00Z</dcterms:created>
  <dcterms:modified xsi:type="dcterms:W3CDTF">2019-06-19T07:07:00Z</dcterms:modified>
</cp:coreProperties>
</file>